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da08110f52a34823" /></Relationships>
</file>

<file path=word/document.xml><?xml version="1.0" encoding="utf-8"?>
<w:document xmlns:w="http://schemas.openxmlformats.org/wordprocessingml/2006/main">
  <w:body>
    <w:tbl>
      <w:tblPr>
        <w:tblW w:w="9000" w:type="dxa"/>
        <w:tblBorders>
          <w:top w:val="nil"/>
          <w:bottom w:val="nil"/>
          <w:left w:val="nil"/>
          <w:right w:val="nil"/>
          <w:insideH w:val="nil"/>
          <w:insideV w:val="nil"/>
        </w:tblBorders>
        <w:tblCellSpacing w:w="60" w:type="dxa"/>
        <w:shd w:val="clear" w:color="auto" w:fill="E7F0F9"/>
      </w:tblPr>
      <w:tblGrid>
        <w:gridCol w:w="1200"/>
        <w:gridCol w:w="4500"/>
      </w:tblGrid>
      <w:tr>
        <w:tc>
          <w:tcPr>
            <w:tcW w:w="1200" w:type="pct"/>
            <w:shd w:val="clear" w:color="auto" w:fill="E7F0F9"/>
          </w:tcPr>
          <w:p>
            <w:pPr>
              <w:spacing w:before="0" w:after="0" w:line="240" w:lineRule="auto"/>
              <w:jc w:val="left"/>
            </w:pPr>
            <w:r>
              <w:rPr>
                <w:b/>
              </w:rPr>
              <w:t xml:space="preserve">RKP broj</w:t>
            </w:r>
          </w:p>
        </w:tc>
        <w:tc>
          <w:tcPr>
            <w:shd w:val="clear" w:color="auto" w:fill="E7F0F9"/>
          </w:tcPr>
          <w:p>
            <w:pPr>
              <w:spacing w:before="0" w:after="0" w:line="240" w:lineRule="auto"/>
              <w:jc w:val="left"/>
            </w:pPr>
            <w:r>
              <w:t xml:space="preserve">37822</w:t>
            </w:r>
          </w:p>
        </w:tc>
      </w:tr>
      <w:tr>
        <w:tc>
          <w:tcPr>
            <w:tcW w:w="1200" w:type="pct"/>
            <w:shd w:val="clear" w:color="auto" w:fill="E7F0F9"/>
          </w:tcPr>
          <w:p>
            <w:pPr>
              <w:spacing w:before="0" w:after="0" w:line="240" w:lineRule="auto"/>
              <w:jc w:val="left"/>
            </w:pPr>
            <w:r>
              <w:rPr>
                <w:b/>
              </w:rPr>
              <w:t xml:space="preserve">Naziv obveznika</w:t>
            </w:r>
          </w:p>
        </w:tc>
        <w:tc>
          <w:tcPr>
            <w:shd w:val="clear" w:color="auto" w:fill="E7F0F9"/>
          </w:tcPr>
          <w:p>
            <w:pPr>
              <w:spacing w:before="0" w:after="0" w:line="240" w:lineRule="auto"/>
              <w:jc w:val="left"/>
            </w:pPr>
            <w:r>
              <w:t xml:space="preserve">KRAPINSKO-ZAGORSKA ŽUPANIJA</w:t>
            </w:r>
          </w:p>
        </w:tc>
      </w:tr>
      <w:tr>
        <w:tc>
          <w:tcPr>
            <w:tcW w:w="1200" w:type="pct"/>
            <w:shd w:val="clear" w:color="auto" w:fill="E7F0F9"/>
          </w:tcPr>
          <w:p>
            <w:pPr>
              <w:spacing w:before="0" w:after="0" w:line="240" w:lineRule="auto"/>
              <w:jc w:val="left"/>
            </w:pPr>
            <w:r>
              <w:rPr>
                <w:b/>
              </w:rPr>
              <w:t xml:space="preserve">Razina</w:t>
            </w:r>
          </w:p>
        </w:tc>
        <w:tc>
          <w:tcPr>
            <w:shd w:val="clear" w:color="auto" w:fill="E7F0F9"/>
          </w:tcPr>
          <w:p>
            <w:pPr>
              <w:spacing w:before="0" w:after="0" w:line="240" w:lineRule="auto"/>
              <w:jc w:val="left"/>
            </w:pPr>
            <w:r>
              <w:t xml:space="preserve">22</w:t>
            </w:r>
          </w:p>
        </w:tc>
      </w:tr>
    </w:tbl>
    <w:p>
      <w:r>
        <w:br/>
      </w:r>
    </w:p>
    <w:p>
      <w:pPr>
        <w:jc w:val="center"/>
        <w:pStyle w:val="Normal"/>
        <w:spacing w:line="240" w:lineRule="auto"/>
      </w:pPr>
      <w:r>
        <w:rPr>
          <w:b/>
          <w:sz w:val="28"/>
          <w:rFonts w:ascii="Times New Roman" w:hAnsi="Times New Roman"/>
        </w:rPr>
        <w:t xml:space="preserve">BILJEŠKE UZ FINANCIJSKE IZVJEŠTAJE</w:t>
      </w:r>
    </w:p>
    <w:p>
      <w:pPr>
        <w:jc w:val="center"/>
        <w:pStyle w:val="Normal"/>
        <w:spacing w:line="240" w:lineRule="auto"/>
      </w:pPr>
      <w:r>
        <w:rPr>
          <w:b/>
          <w:sz w:val="28"/>
          <w:rFonts w:ascii="Times New Roman" w:hAnsi="Times New Roman"/>
        </w:rPr>
        <w:t xml:space="preserve">ZA RAZDOBLJE</w:t>
      </w:r>
    </w:p>
    <w:p>
      <w:pPr>
        <w:jc w:val="center"/>
        <w:pStyle w:val="Normal"/>
        <w:spacing w:line="240" w:lineRule="auto"/>
      </w:pPr>
      <w:r>
        <w:rPr>
          <w:b/>
          <w:sz w:val="28"/>
          <w:rFonts w:ascii="Times New Roman" w:hAnsi="Times New Roman"/>
        </w:rPr>
        <w:t xml:space="preserve">I - XII 2025.</w:t>
      </w:r>
    </w:p>
    <w:p/>
    <w:p>
      <w:pPr>
        <w:jc w:val="center"/>
        <w:pStyle w:val="Normal"/>
        <w:spacing w:line="240" w:lineRule="auto"/>
        <w:keepNext/>
      </w:pPr>
      <w:r>
        <w:rPr>
          <w:b/>
          <w:sz w:val="28"/>
          <w:rFonts w:ascii="Times New Roman" w:hAnsi="Times New Roman"/>
        </w:rPr>
        <w:t xml:space="preserve">Izvještaj o prihodima i rashodima, primicima i izdacima</w:t>
      </w:r>
    </w:p>
    <w:p>
      <w:pPr>
        <w:jc w:val="center"/>
        <w:pStyle w:val="Normal"/>
        <w:spacing w:line="240" w:lineRule="auto"/>
        <w:keepNext/>
      </w:pPr>
      <w:r>
        <w:rPr>
          <w:sz w:val="28"/>
          <w:rFonts w:ascii="Times New Roman" w:hAnsi="Times New Roman"/>
        </w:rPr>
        <w:t xml:space="preserve">Bilješka 1.</w:t>
      </w:r>
    </w:p>
    <w:tbl>
      <w:tblPr>
        <w:tblBorders>
          <w:top w:val="single" w:color="BABABA" w:sz="12"/>
          <w:bottom w:val="single" w:color="BABABA" w:sz="12"/>
          <w:left w:val="single" w:color="BABABA" w:sz="12"/>
          <w:right w:val="single" w:color="BABABA" w:sz="12"/>
          <w:insideH w:val="single" w:color="BABABA" w:sz="8"/>
          <w:insideV w:val="single" w:color="DADADA" w:sz="8"/>
        </w:tblBorders>
        <w:tblW w:w="0" w:type="auto"/>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46.958.687,05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46.634.736,16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99,3</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30.936.722,39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37.912.446,22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122,5</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POSLOVANJA (šifre 6-Z005)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16.021.964,66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8.722.289,94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54,4</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16.492,00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1.739.352,26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10.468.279,41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601,8</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OD NEFINANCIJSKE IMOVINE (šifre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1.739.352,26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10.451.787,41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600,9</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13.121,88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75.721,93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577,1</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4.203.444,54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1.203.327,73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28,6</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PRIMITAKA OD FINANCIJSKE IMOVINE I ZADUŽIVANJA (šifre 5-8)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4.190.322,66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1.127.605,80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26,9</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I PRIMITAKA (šifre Y345-X678)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2.857.103,27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bl>
    <w:p>
      <w:pPr>
        <w:spacing w:before="0" w:after="0"/>
      </w:pPr>
    </w:p>
    <w:p>
      <w:r>
        <w:t xml:space="preserve">Na kraju tekuće godine ostvaren je manjak u iznosu od 2.857.103,27 eura zbog realiziranih velikih kapitalnih projekata dok prihodi za navedeno nisu evidentirani nego su sredstva knjižena na kontu 27 EU predujmovi budući da se predujam prenosi na prihod u trenutku odobrenja ZNS-a što je u ovom slučaju u 2026. godini. </w:t>
      </w:r>
    </w:p>
    <w:p>
      <w:r>
        <w:br/>
      </w:r>
    </w:p>
    <w:p>
      <w:pPr>
        <w:jc w:val="center"/>
        <w:pStyle w:val="Normal"/>
        <w:spacing w:line="240" w:lineRule="auto"/>
        <w:keepNext/>
      </w:pPr>
      <w:r>
        <w:rPr>
          <w:sz w:val="28"/>
          <w:rFonts w:ascii="Times New Roman" w:hAnsi="Times New Roman"/>
        </w:rPr>
        <w:t xml:space="preserve">Bilješka 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Porez na dohodak od kapitala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1.605.117,58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Prethodne godine nema realizacije zbog promjene u načinu knjiženja.</w:t>
      </w:r>
    </w:p>
    <w:p/>
    <w:p>
      <w:pPr>
        <w:jc w:val="center"/>
        <w:pStyle w:val="Normal"/>
        <w:spacing w:line="240" w:lineRule="auto"/>
        <w:keepNext/>
      </w:pPr>
      <w:r>
        <w:rPr>
          <w:sz w:val="28"/>
          <w:rFonts w:ascii="Times New Roman" w:hAnsi="Times New Roman"/>
        </w:rPr>
        <w:t xml:space="preserve">Bilješka 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6116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Porez na dohodak utvrđen u postupku nadzora za prethodne godine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6116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101.117,22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Prethodne godine nema realizacije zbog promjene u načinu knjiženja.</w:t>
      </w:r>
    </w:p>
    <w:p/>
    <w:p>
      <w:pPr>
        <w:jc w:val="center"/>
        <w:pStyle w:val="Normal"/>
        <w:spacing w:line="240" w:lineRule="auto"/>
        <w:keepNext/>
      </w:pPr>
      <w:r>
        <w:rPr>
          <w:sz w:val="28"/>
          <w:rFonts w:ascii="Times New Roman" w:hAnsi="Times New Roman"/>
        </w:rPr>
        <w:t xml:space="preserve">Bilješka 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Stalni porezi na nepokretnu imovinu (zemlju, zgrade, kuće i ostalo)</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124.881,89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Zakonska obveza plaćanja poreza na nekretnine stupila je na snagu u 2025. godini, stoga prethodna godina nema realizaciju.</w:t>
      </w:r>
    </w:p>
    <w:p/>
    <w:p>
      <w:pPr>
        <w:jc w:val="center"/>
        <w:pStyle w:val="Normal"/>
        <w:spacing w:line="240" w:lineRule="auto"/>
        <w:keepNext/>
      </w:pPr>
      <w:r>
        <w:rPr>
          <w:sz w:val="28"/>
          <w:rFonts w:ascii="Times New Roman" w:hAnsi="Times New Roman"/>
        </w:rPr>
        <w:t xml:space="preserve">Bilješka 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od međunarodnih organizacija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1.120,00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U izvještajnom razdoblju prethodne godine završen projekt Poticanje kulture lokalnih savjeta mladih.</w:t>
      </w:r>
    </w:p>
    <w:p/>
    <w:p>
      <w:pPr>
        <w:jc w:val="center"/>
        <w:pStyle w:val="Normal"/>
        <w:spacing w:line="240" w:lineRule="auto"/>
        <w:keepNext/>
      </w:pPr>
      <w:r>
        <w:rPr>
          <w:sz w:val="28"/>
          <w:rFonts w:ascii="Times New Roman" w:hAnsi="Times New Roman"/>
        </w:rPr>
        <w:t xml:space="preserve">Bilješka 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proračunu i izvanproračunskim korisnicima iz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1.223.334,43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16.367,00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w:t>
            </w:r>
          </w:p>
        </w:tc>
      </w:tr>
    </w:tbl>
    <w:p>
      <w:pPr>
        <w:spacing w:before="0" w:after="0"/>
      </w:pPr>
    </w:p>
    <w:p>
      <w:r>
        <w:t xml:space="preserve">U tekućem razdoblju smanjenje prihoda zbog završetka projekta izgradnje sportske dvorane SŠ Zabok te obnove i rekonstrukcije škola.</w:t>
      </w:r>
    </w:p>
    <w:p/>
    <w:p>
      <w:pPr>
        <w:jc w:val="center"/>
        <w:pStyle w:val="Normal"/>
        <w:spacing w:line="240" w:lineRule="auto"/>
        <w:keepNext/>
      </w:pPr>
      <w:r>
        <w:rPr>
          <w:sz w:val="28"/>
          <w:rFonts w:ascii="Times New Roman" w:hAnsi="Times New Roman"/>
        </w:rPr>
        <w:t xml:space="preserve">Bilješka 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6341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od izvanproračunskih korisnika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36.217,92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68.003,45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187,8</w:t>
            </w:r>
          </w:p>
        </w:tc>
      </w:tr>
    </w:tbl>
    <w:p>
      <w:pPr>
        <w:spacing w:before="0" w:after="0"/>
      </w:pPr>
    </w:p>
    <w:p>
      <w:r>
        <w:t xml:space="preserve">Odnosi se na uplatu Fonda za zaštitu okoliša za provođenje projekta JU Zagorje zeleno "Oprez IAS"</w:t>
      </w:r>
    </w:p>
    <w:p/>
    <w:p>
      <w:pPr>
        <w:jc w:val="center"/>
        <w:pStyle w:val="Normal"/>
        <w:spacing w:line="240" w:lineRule="auto"/>
        <w:keepNext/>
      </w:pPr>
      <w:r>
        <w:rPr>
          <w:sz w:val="28"/>
          <w:rFonts w:ascii="Times New Roman" w:hAnsi="Times New Roman"/>
        </w:rPr>
        <w:t xml:space="preserve">Bilješka 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6353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fiskalnog izravnanja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6353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220.208,93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Prethodna godina nema realizaciju zbog promjena knjiženja sukladno novom Pravilniku o proračunskom računovodstvu i računskom planu, koji je u primjeni od 1.1.2025.</w:t>
      </w:r>
    </w:p>
    <w:p/>
    <w:p>
      <w:pPr>
        <w:jc w:val="center"/>
        <w:pStyle w:val="Normal"/>
        <w:spacing w:line="240" w:lineRule="auto"/>
        <w:keepNext/>
      </w:pPr>
      <w:r>
        <w:rPr>
          <w:sz w:val="28"/>
          <w:rFonts w:ascii="Times New Roman" w:hAnsi="Times New Roman"/>
        </w:rPr>
        <w:t xml:space="preserve">Bilješka 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temeljem prijenosa EU sredstava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2.270.429,72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5.561.438,44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245,0</w:t>
            </w:r>
          </w:p>
        </w:tc>
      </w:tr>
    </w:tbl>
    <w:p>
      <w:pPr>
        <w:spacing w:before="0" w:after="0"/>
      </w:pPr>
    </w:p>
    <w:p>
      <w:r>
        <w:t xml:space="preserve">Značajno povećanje zbog primljenih uplata po ZNS-ovima za projekt obnove dvorca St. Golubovec te prihoda za projektno-tehničke dokumentacije (osnovne škole Oroslavje, Donja Stubica, Brestovec Orehovički, Pregrada, Zlatar, Krapinske Toplice i Hum na Sutli, Belec i Sv. Križ Začretje) te izgradnju i dogradnju škola u programu Nacionalnog plana oporavka i otpornosti (COOKT, PŠ Dubrovčan, SŠ Zlatar)</w:t>
      </w:r>
    </w:p>
    <w:p/>
    <w:p>
      <w:pPr>
        <w:jc w:val="center"/>
        <w:pStyle w:val="Normal"/>
        <w:spacing w:line="240" w:lineRule="auto"/>
        <w:keepNext/>
      </w:pPr>
      <w:r>
        <w:rPr>
          <w:sz w:val="28"/>
          <w:rFonts w:ascii="Times New Roman" w:hAnsi="Times New Roman"/>
        </w:rPr>
        <w:t xml:space="preserve">Bilješka 10.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6394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Kapitalni prijenosi između proračunskih korisnika istog proračuna temeljem prijenosa EU sredstava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6394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7.024.899,63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211.251,06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3,0</w:t>
            </w:r>
          </w:p>
        </w:tc>
      </w:tr>
    </w:tbl>
    <w:p>
      <w:pPr>
        <w:spacing w:before="0" w:after="0"/>
      </w:pPr>
    </w:p>
    <w:p>
      <w:r>
        <w:t xml:space="preserve">Odnosi se na povrat sredstava od korisnika SB Krapinske Toplice za provođenje projekta</w:t>
      </w:r>
    </w:p>
    <w:p/>
    <w:p>
      <w:pPr>
        <w:jc w:val="center"/>
        <w:pStyle w:val="Normal"/>
        <w:spacing w:line="240" w:lineRule="auto"/>
        <w:keepNext/>
      </w:pPr>
      <w:r>
        <w:rPr>
          <w:sz w:val="28"/>
          <w:rFonts w:ascii="Times New Roman" w:hAnsi="Times New Roman"/>
        </w:rPr>
        <w:t xml:space="preserve">Bilješka 11.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Kamate na oročena sredstva i depozite po viđenju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14.407,72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117.919,73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818,4</w:t>
            </w:r>
          </w:p>
        </w:tc>
      </w:tr>
    </w:tbl>
    <w:p>
      <w:pPr>
        <w:spacing w:before="0" w:after="0"/>
      </w:pPr>
    </w:p>
    <w:p>
      <w:r>
        <w:t xml:space="preserve">Oročena su znatna sredstva u banci te se povećanje odnosi na kamatu po oročenju</w:t>
      </w:r>
    </w:p>
    <w:p/>
    <w:p>
      <w:pPr>
        <w:jc w:val="center"/>
        <w:pStyle w:val="Normal"/>
        <w:spacing w:line="240" w:lineRule="auto"/>
        <w:keepNext/>
      </w:pPr>
      <w:r>
        <w:rPr>
          <w:sz w:val="28"/>
          <w:rFonts w:ascii="Times New Roman" w:hAnsi="Times New Roman"/>
        </w:rPr>
        <w:t xml:space="preserve">Bilješka 12.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6419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prihodi od financijske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6419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50,0</w:t>
            </w:r>
          </w:p>
        </w:tc>
      </w:tr>
    </w:tbl>
    <w:p>
      <w:pPr>
        <w:spacing w:before="0" w:after="0"/>
      </w:pPr>
    </w:p>
    <w:p>
      <w:r>
        <w:t xml:space="preserve">Odnosi se na primljene uplate od Ljekarne Krapinsko-zagorske županije - uplata viška prihoda po odluci Županije</w:t>
      </w:r>
    </w:p>
    <w:p/>
    <w:p>
      <w:pPr>
        <w:jc w:val="center"/>
        <w:pStyle w:val="Normal"/>
        <w:spacing w:line="240" w:lineRule="auto"/>
        <w:keepNext/>
      </w:pPr>
      <w:r>
        <w:rPr>
          <w:sz w:val="28"/>
          <w:rFonts w:ascii="Times New Roman" w:hAnsi="Times New Roman"/>
        </w:rPr>
        <w:t xml:space="preserve">Bilješka 13.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Naknada za korištenje nefinancijske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103.818,98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189.018,10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182,1</w:t>
            </w:r>
          </w:p>
        </w:tc>
      </w:tr>
    </w:tbl>
    <w:p>
      <w:pPr>
        <w:spacing w:before="0" w:after="0"/>
      </w:pPr>
    </w:p>
    <w:p>
      <w:r>
        <w:t xml:space="preserve">Odnosi se na naknade za iskop mineralnih sirovina</w:t>
      </w:r>
    </w:p>
    <w:p/>
    <w:p>
      <w:pPr>
        <w:jc w:val="center"/>
        <w:pStyle w:val="Normal"/>
        <w:spacing w:line="240" w:lineRule="auto"/>
        <w:keepNext/>
      </w:pPr>
      <w:r>
        <w:rPr>
          <w:sz w:val="28"/>
          <w:rFonts w:ascii="Times New Roman" w:hAnsi="Times New Roman"/>
        </w:rPr>
        <w:t xml:space="preserve">Bilješka 14.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prihodi od nefinancijske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12.774,37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29.391,39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230,1</w:t>
            </w:r>
          </w:p>
        </w:tc>
      </w:tr>
    </w:tbl>
    <w:p>
      <w:pPr>
        <w:spacing w:before="0" w:after="0"/>
      </w:pPr>
    </w:p>
    <w:p>
      <w:r>
        <w:t xml:space="preserve">Odnosi se na naknade za nezakonito izgrađene građevine</w:t>
      </w:r>
    </w:p>
    <w:p/>
    <w:p>
      <w:pPr>
        <w:jc w:val="center"/>
        <w:pStyle w:val="Normal"/>
        <w:spacing w:line="240" w:lineRule="auto"/>
        <w:keepNext/>
      </w:pPr>
      <w:r>
        <w:rPr>
          <w:sz w:val="28"/>
          <w:rFonts w:ascii="Times New Roman" w:hAnsi="Times New Roman"/>
        </w:rPr>
        <w:t xml:space="preserve">Bilješka 15.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donacije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2.020,00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Primljena donacija zemljišta</w:t>
      </w:r>
    </w:p>
    <w:p/>
    <w:p>
      <w:pPr>
        <w:jc w:val="center"/>
        <w:pStyle w:val="Normal"/>
        <w:spacing w:line="240" w:lineRule="auto"/>
        <w:keepNext/>
      </w:pPr>
      <w:r>
        <w:rPr>
          <w:sz w:val="28"/>
          <w:rFonts w:ascii="Times New Roman" w:hAnsi="Times New Roman"/>
        </w:rPr>
        <w:t xml:space="preserve">Bilješka 16.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6633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Povrat donacija danih neprofitnim organizacijama, građanima i kućanstvima u tuzemstvu po protestiranim jamstvima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1.050,00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665,00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63,3</w:t>
            </w:r>
          </w:p>
        </w:tc>
      </w:tr>
    </w:tbl>
    <w:p>
      <w:pPr>
        <w:spacing w:before="0" w:after="0"/>
      </w:pPr>
    </w:p>
    <w:p>
      <w:r>
        <w:t xml:space="preserve">Odnosi se na povrat studentskog kredita</w:t>
      </w:r>
    </w:p>
    <w:p/>
    <w:p>
      <w:pPr>
        <w:jc w:val="center"/>
        <w:pStyle w:val="Normal"/>
        <w:spacing w:line="240" w:lineRule="auto"/>
        <w:keepNext/>
      </w:pPr>
      <w:r>
        <w:rPr>
          <w:sz w:val="28"/>
          <w:rFonts w:ascii="Times New Roman" w:hAnsi="Times New Roman"/>
        </w:rPr>
        <w:t xml:space="preserve">Bilješka 17.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Pristojbe i naknade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5.447,12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8.997,02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165,2</w:t>
            </w:r>
          </w:p>
        </w:tc>
      </w:tr>
    </w:tbl>
    <w:p>
      <w:pPr>
        <w:spacing w:before="0" w:after="0"/>
      </w:pPr>
    </w:p>
    <w:p>
      <w:r>
        <w:t xml:space="preserve">Povećanje se odnosi na naknadu za nezapošljavanje invalida, RTV pristojbu i troškove ugovornih pristojbi</w:t>
      </w:r>
    </w:p>
    <w:p/>
    <w:p>
      <w:pPr>
        <w:jc w:val="center"/>
        <w:pStyle w:val="Normal"/>
        <w:spacing w:line="240" w:lineRule="auto"/>
        <w:keepNext/>
      </w:pPr>
      <w:r>
        <w:rPr>
          <w:sz w:val="28"/>
          <w:rFonts w:ascii="Times New Roman" w:hAnsi="Times New Roman"/>
        </w:rPr>
        <w:t xml:space="preserve">Bilješka 18.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3512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Subvencije trgovačkim društvima u javnom sektoru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3512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64.531,20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203.549,00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315,4</w:t>
            </w:r>
          </w:p>
        </w:tc>
      </w:tr>
    </w:tbl>
    <w:p>
      <w:pPr>
        <w:spacing w:before="0" w:after="0"/>
      </w:pPr>
    </w:p>
    <w:p>
      <w:r>
        <w:t xml:space="preserve">Bilježi se povećanje zbog isplaćenih potpora za digitalnu i inovativnu tranziciju poduzetnika na području KZŽ (109.646,86)</w:t>
      </w:r>
    </w:p>
    <w:p/>
    <w:p>
      <w:pPr>
        <w:jc w:val="center"/>
        <w:pStyle w:val="Normal"/>
        <w:spacing w:line="240" w:lineRule="auto"/>
        <w:keepNext/>
      </w:pPr>
      <w:r>
        <w:rPr>
          <w:sz w:val="28"/>
          <w:rFonts w:ascii="Times New Roman" w:hAnsi="Times New Roman"/>
        </w:rPr>
        <w:t xml:space="preserve">Bilješka 19.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353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Subvencije trgovačkim društvima, zadrugama, poljoprivrednicima i obrtnicima iz EU sredstava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353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58.917,18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Odnosi se na troškove projekta Hypokrat, koji je u prehodnom razdoblju završen zbog čega je došlo do smanjenja</w:t>
      </w:r>
    </w:p>
    <w:p/>
    <w:p>
      <w:pPr>
        <w:jc w:val="center"/>
        <w:pStyle w:val="Normal"/>
        <w:spacing w:line="240" w:lineRule="auto"/>
        <w:keepNext/>
      </w:pPr>
      <w:r>
        <w:rPr>
          <w:sz w:val="28"/>
          <w:rFonts w:ascii="Times New Roman" w:hAnsi="Times New Roman"/>
        </w:rPr>
        <w:t xml:space="preserve">Bilješka 20.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drugom proračunu i izvanproračunskim korisnicima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395.698,35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722.183,59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182,5</w:t>
            </w:r>
          </w:p>
        </w:tc>
      </w:tr>
    </w:tbl>
    <w:p>
      <w:pPr>
        <w:spacing w:before="0" w:after="0"/>
      </w:pPr>
    </w:p>
    <w:p>
      <w:r>
        <w:t xml:space="preserve">Povećanje se odnosi na sufinanciranje 50% iznosa  za radne bilježnice te za sufinanciranje javnolinijskog prijevoza putnika</w:t>
      </w:r>
    </w:p>
    <w:p/>
    <w:p>
      <w:pPr>
        <w:jc w:val="center"/>
        <w:pStyle w:val="Normal"/>
        <w:spacing w:line="240" w:lineRule="auto"/>
        <w:keepNext/>
      </w:pPr>
      <w:r>
        <w:rPr>
          <w:sz w:val="28"/>
          <w:rFonts w:ascii="Times New Roman" w:hAnsi="Times New Roman"/>
        </w:rPr>
        <w:t xml:space="preserve">Bilješka 21.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drugom proračunu i izvanproračunskim korisnicima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1.167.893,77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634.875,21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54,4</w:t>
            </w:r>
          </w:p>
        </w:tc>
      </w:tr>
    </w:tbl>
    <w:p>
      <w:pPr>
        <w:spacing w:before="0" w:after="0"/>
      </w:pPr>
    </w:p>
    <w:p>
      <w:r>
        <w:t xml:space="preserve">Značajno smanjenje jer u tekućem razdoblju nije bilo isplata prema Županijskoj upravi za ceste radi sanacije klizišta</w:t>
      </w:r>
    </w:p>
    <w:p/>
    <w:p>
      <w:pPr>
        <w:jc w:val="center"/>
        <w:pStyle w:val="Normal"/>
        <w:spacing w:line="240" w:lineRule="auto"/>
        <w:keepNext/>
      </w:pPr>
      <w:r>
        <w:rPr>
          <w:sz w:val="28"/>
          <w:rFonts w:ascii="Times New Roman" w:hAnsi="Times New Roman"/>
        </w:rPr>
        <w:t xml:space="preserve">Bilješka 22.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3661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proračunskim korisnicima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54.324,61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100.503,60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185,0</w:t>
            </w:r>
          </w:p>
        </w:tc>
      </w:tr>
    </w:tbl>
    <w:p>
      <w:pPr>
        <w:spacing w:before="0" w:after="0"/>
      </w:pPr>
    </w:p>
    <w:p>
      <w:r>
        <w:t xml:space="preserve">Povećanje se odnosi na doznačena sredstva Veleučilištu Hrvatsko-zagorje Krapina</w:t>
      </w:r>
    </w:p>
    <w:p/>
    <w:p>
      <w:pPr>
        <w:jc w:val="center"/>
        <w:pStyle w:val="Normal"/>
        <w:spacing w:line="240" w:lineRule="auto"/>
        <w:keepNext/>
      </w:pPr>
      <w:r>
        <w:rPr>
          <w:sz w:val="28"/>
          <w:rFonts w:ascii="Times New Roman" w:hAnsi="Times New Roman"/>
        </w:rPr>
        <w:t xml:space="preserve">Bilješka 23.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3662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proračunskim korisnicima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41.881,85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169.294,62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404,2</w:t>
            </w:r>
          </w:p>
        </w:tc>
      </w:tr>
    </w:tbl>
    <w:p>
      <w:pPr>
        <w:spacing w:before="0" w:after="0"/>
      </w:pPr>
    </w:p>
    <w:p>
      <w:r>
        <w:t xml:space="preserve">U tekućem razdoblju bilježi se povećanje zbog doznačenih sredstava za nabavu opreme Općoj bolnici Zabok</w:t>
      </w:r>
    </w:p>
    <w:p/>
    <w:p>
      <w:pPr>
        <w:jc w:val="center"/>
        <w:pStyle w:val="Normal"/>
        <w:spacing w:line="240" w:lineRule="auto"/>
        <w:keepNext/>
      </w:pPr>
      <w:r>
        <w:rPr>
          <w:sz w:val="28"/>
          <w:rFonts w:ascii="Times New Roman" w:hAnsi="Times New Roman"/>
        </w:rPr>
        <w:t xml:space="preserve">Bilješka 24.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3682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temeljem prijenosa EU sredstava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193.778,14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U prethodnom razdoblju doznačena sredstva za sanaciju klizišta i projekt Hypokrat, u tekućem razdoblju nema realizacije jer su navedeni projekti završeni</w:t>
      </w:r>
    </w:p>
    <w:p/>
    <w:p>
      <w:pPr>
        <w:jc w:val="center"/>
        <w:pStyle w:val="Normal"/>
        <w:spacing w:line="240" w:lineRule="auto"/>
        <w:keepNext/>
      </w:pPr>
      <w:r>
        <w:rPr>
          <w:sz w:val="28"/>
          <w:rFonts w:ascii="Times New Roman" w:hAnsi="Times New Roman"/>
        </w:rPr>
        <w:t xml:space="preserve">Bilješka 25.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3691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Tekući prijenosi između proračunskih korisnika istog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85.255,70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U tekućoj godini nema realizacije zbog promjene u načinu knjiženja sukladno Pravilniku o proračunskom računovodstvu te računskom planu</w:t>
      </w:r>
    </w:p>
    <w:p/>
    <w:p>
      <w:pPr>
        <w:jc w:val="center"/>
        <w:pStyle w:val="Normal"/>
        <w:spacing w:line="240" w:lineRule="auto"/>
        <w:keepNext/>
      </w:pPr>
      <w:r>
        <w:rPr>
          <w:sz w:val="28"/>
          <w:rFonts w:ascii="Times New Roman" w:hAnsi="Times New Roman"/>
        </w:rPr>
        <w:t xml:space="preserve">Bilješka 26.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donacije iz EU sredstava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12.347,80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Odnosi se na doznačena sredstva REGEA- i za projekt Hypokrat, koji je završen u prethodnom razdoblju</w:t>
      </w:r>
    </w:p>
    <w:p/>
    <w:p>
      <w:pPr>
        <w:jc w:val="center"/>
        <w:pStyle w:val="Normal"/>
        <w:spacing w:line="240" w:lineRule="auto"/>
        <w:keepNext/>
      </w:pPr>
      <w:r>
        <w:rPr>
          <w:sz w:val="28"/>
          <w:rFonts w:ascii="Times New Roman" w:hAnsi="Times New Roman"/>
        </w:rPr>
        <w:t xml:space="preserve">Bilješka 27.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Naknade šteta pravnim i fizičkim osobama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5.308,92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59.379,91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1118,5</w:t>
            </w:r>
          </w:p>
        </w:tc>
      </w:tr>
    </w:tbl>
    <w:p>
      <w:pPr>
        <w:spacing w:before="0" w:after="0"/>
      </w:pPr>
    </w:p>
    <w:p>
      <w:r>
        <w:t xml:space="preserve">Značajno povećanje odnosi se na sredstva za elementarnu nepogodu na području Kraljevca na Sutli sukladno Odluci Vlade (45.379,91)</w:t>
      </w:r>
    </w:p>
    <w:p/>
    <w:p>
      <w:pPr>
        <w:jc w:val="center"/>
        <w:pStyle w:val="Normal"/>
        <w:spacing w:line="240" w:lineRule="auto"/>
        <w:keepNext/>
      </w:pPr>
      <w:r>
        <w:rPr>
          <w:sz w:val="28"/>
          <w:rFonts w:ascii="Times New Roman" w:hAnsi="Times New Roman"/>
        </w:rPr>
        <w:t xml:space="preserve">Bilješka 28.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3861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kreditnim i ostalim financijskim institucijama te trgovačkim društvima u javnom sektoru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141.433,65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333.386,89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235,7</w:t>
            </w:r>
          </w:p>
        </w:tc>
      </w:tr>
    </w:tbl>
    <w:p>
      <w:pPr>
        <w:spacing w:before="0" w:after="0"/>
      </w:pPr>
    </w:p>
    <w:p>
      <w:r>
        <w:t xml:space="preserve">Povećanje se odnosi na povećanje troškova sufinanciranja odlagališta Piškornica</w:t>
      </w:r>
    </w:p>
    <w:p/>
    <w:p>
      <w:pPr>
        <w:jc w:val="center"/>
        <w:pStyle w:val="Normal"/>
        <w:spacing w:line="240" w:lineRule="auto"/>
        <w:keepNext/>
      </w:pPr>
      <w:r>
        <w:rPr>
          <w:sz w:val="28"/>
          <w:rFonts w:ascii="Times New Roman" w:hAnsi="Times New Roman"/>
        </w:rPr>
        <w:t xml:space="preserve">Bilješka 29.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proizvedene dugotrajne imovine (šifre 721+722+723+724+725+726)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16.492,00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 tekućem razdoblju ostavren prihod od prodaje službenih vozila</w:t>
      </w:r>
    </w:p>
    <w:p/>
    <w:p>
      <w:pPr>
        <w:jc w:val="center"/>
        <w:pStyle w:val="Normal"/>
        <w:spacing w:line="240" w:lineRule="auto"/>
        <w:keepNext/>
      </w:pPr>
      <w:r>
        <w:rPr>
          <w:sz w:val="28"/>
          <w:rFonts w:ascii="Times New Roman" w:hAnsi="Times New Roman"/>
        </w:rPr>
        <w:t xml:space="preserve">Bilješka 30.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Građevinski objekti (šifre 4211 do 4214)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660.142,76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3.284.360,37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497,5</w:t>
            </w:r>
          </w:p>
        </w:tc>
      </w:tr>
    </w:tbl>
    <w:p>
      <w:pPr>
        <w:spacing w:before="0" w:after="0"/>
      </w:pPr>
    </w:p>
    <w:p>
      <w:r>
        <w:t xml:space="preserve">U tekućem razdoblju značajno povećanje odnosi se na projektiranje i izgradnju nove zgrade Centra za odgoj i obrazovanje Krapinske Toplice u sklopu Nacionalnog plana oporavka i otpornosti (2.693.178,98)</w:t>
      </w:r>
    </w:p>
    <w:p/>
    <w:p>
      <w:pPr>
        <w:jc w:val="center"/>
        <w:pStyle w:val="Normal"/>
        <w:spacing w:line="240" w:lineRule="auto"/>
        <w:keepNext/>
      </w:pPr>
      <w:r>
        <w:rPr>
          <w:sz w:val="28"/>
          <w:rFonts w:ascii="Times New Roman" w:hAnsi="Times New Roman"/>
        </w:rPr>
        <w:t xml:space="preserve">Bilješka 31.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Instrumenti i uređaji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43.087,50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 tekućem razdoblju nabavljen humanoidni robot</w:t>
      </w:r>
    </w:p>
    <w:p/>
    <w:p>
      <w:pPr>
        <w:jc w:val="center"/>
        <w:pStyle w:val="Normal"/>
        <w:spacing w:line="240" w:lineRule="auto"/>
        <w:keepNext/>
      </w:pPr>
      <w:r>
        <w:rPr>
          <w:sz w:val="28"/>
          <w:rFonts w:ascii="Times New Roman" w:hAnsi="Times New Roman"/>
        </w:rPr>
        <w:t xml:space="preserve">Bilješka 32.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4262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Ulaganja u računalne programe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451.250,00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 tekućem razdoblju provedena implemetacija i osnovna obuka za modul pune riznice</w:t>
      </w:r>
    </w:p>
    <w:p/>
    <w:p>
      <w:pPr>
        <w:jc w:val="center"/>
        <w:pStyle w:val="Normal"/>
        <w:spacing w:line="240" w:lineRule="auto"/>
        <w:keepNext/>
      </w:pPr>
      <w:r>
        <w:rPr>
          <w:sz w:val="28"/>
          <w:rFonts w:ascii="Times New Roman" w:hAnsi="Times New Roman"/>
        </w:rPr>
        <w:t xml:space="preserve">Bilješka 33.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451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Dodatna ulaganja na građevinskim objektima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451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704.496,10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6.515.503,85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924,8</w:t>
            </w:r>
          </w:p>
        </w:tc>
      </w:tr>
    </w:tbl>
    <w:p>
      <w:pPr>
        <w:spacing w:before="0" w:after="0"/>
      </w:pPr>
    </w:p>
    <w:p>
      <w:r>
        <w:t xml:space="preserve">Značajno povećanje zbog projekata obnove i dogradnje škola u sklopu Nacionalnog plana oporavka i otpornosti</w:t>
      </w:r>
    </w:p>
    <w:p/>
    <w:p>
      <w:pPr>
        <w:jc w:val="center"/>
        <w:pStyle w:val="Normal"/>
        <w:spacing w:line="240" w:lineRule="auto"/>
        <w:keepNext/>
      </w:pPr>
      <w:r>
        <w:rPr>
          <w:sz w:val="28"/>
          <w:rFonts w:ascii="Times New Roman" w:hAnsi="Times New Roman"/>
        </w:rPr>
        <w:t xml:space="preserve">Bilješka 34.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(povrati) glavnice zajmova danih trgovačkim društvima u javnom sektoru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64.454,89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Poduzetnički centar - Povrat sredstava iz lokalnog garantnog fonda</w:t>
      </w:r>
    </w:p>
    <w:p/>
    <w:p>
      <w:pPr>
        <w:jc w:val="center"/>
        <w:pStyle w:val="Normal"/>
        <w:spacing w:line="240" w:lineRule="auto"/>
        <w:keepNext/>
      </w:pPr>
      <w:r>
        <w:rPr>
          <w:sz w:val="28"/>
          <w:rFonts w:ascii="Times New Roman" w:hAnsi="Times New Roman"/>
        </w:rPr>
        <w:t xml:space="preserve">Bilješka 35.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dane zajmove i jamčevne pologe (šifre 511+512+513+514+515+516+517+518)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62.500,00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Poduzetnički centar - namjenska sredstva za dodjelu zajmova poduzetnicima početnicima</w:t>
      </w:r>
    </w:p>
    <w:p/>
    <w:p>
      <w:pPr>
        <w:jc w:val="center"/>
        <w:pStyle w:val="Normal"/>
        <w:spacing w:line="240" w:lineRule="auto"/>
        <w:keepNext/>
      </w:pPr>
      <w:r>
        <w:rPr>
          <w:sz w:val="28"/>
          <w:rFonts w:ascii="Times New Roman" w:hAnsi="Times New Roman"/>
        </w:rPr>
        <w:t xml:space="preserve">Bilješka 36.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5443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Otplata glavnice primljenih kredita od tuzemnih kreditnih institucija izvan javnog sektora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4.015.040,38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385.537,40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9,6</w:t>
            </w:r>
          </w:p>
        </w:tc>
      </w:tr>
    </w:tbl>
    <w:p>
      <w:pPr>
        <w:spacing w:before="0" w:after="0"/>
      </w:pPr>
    </w:p>
    <w:p>
      <w:r>
        <w:t xml:space="preserve">Značajno smanjenje zbog povrata revolving kredita u prethodnom razdoblju</w:t>
      </w:r>
    </w:p>
    <w:p/>
    <w:p>
      <w:pPr>
        <w:jc w:val="center"/>
        <w:pStyle w:val="Normal"/>
        <w:spacing w:line="240" w:lineRule="auto"/>
        <w:keepNext/>
      </w:pPr>
      <w:r>
        <w:rPr>
          <w:sz w:val="28"/>
          <w:rFonts w:ascii="Times New Roman" w:hAnsi="Times New Roman"/>
        </w:rPr>
        <w:t xml:space="preserve">Bilješka 37.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5471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Otplata glavnice primljenih zajmova od državnog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5471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188.404,16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755.290,33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400,9</w:t>
            </w:r>
          </w:p>
        </w:tc>
      </w:tr>
    </w:tbl>
    <w:p>
      <w:pPr>
        <w:spacing w:before="0" w:after="0"/>
      </w:pPr>
    </w:p>
    <w:p>
      <w:r>
        <w:t xml:space="preserve">Povećanje se odnosi na povrat beskamatnog zajma za sanaciju od potresa (700.290,33)</w:t>
      </w:r>
    </w:p>
    <w:p/>
    <w:p>
      <w:pPr>
        <w:jc w:val="center"/>
        <w:pStyle w:val="Normal"/>
        <w:spacing w:line="240" w:lineRule="auto"/>
        <w:keepNext/>
      </w:pPr>
      <w:r>
        <w:rPr>
          <w:b/>
          <w:sz w:val="28"/>
          <w:rFonts w:ascii="Times New Roman" w:hAnsi="Times New Roman"/>
        </w:rPr>
        <w:t xml:space="preserve">Bilanca</w:t>
      </w:r>
    </w:p>
    <w:p>
      <w:pPr>
        <w:jc w:val="center"/>
        <w:pStyle w:val="Normal"/>
        <w:spacing w:line="240" w:lineRule="auto"/>
        <w:keepNext/>
      </w:pPr>
      <w:r>
        <w:rPr>
          <w:sz w:val="28"/>
          <w:rFonts w:ascii="Times New Roman" w:hAnsi="Times New Roman"/>
        </w:rPr>
        <w:t xml:space="preserve">Bilješka 38.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Prijevozna sredstva u cestovnom prometu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306.964,78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270.614,55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88,2</w:t>
            </w:r>
          </w:p>
        </w:tc>
      </w:tr>
    </w:tbl>
    <w:p>
      <w:pPr>
        <w:spacing w:before="0" w:after="0"/>
      </w:pPr>
    </w:p>
    <w:p>
      <w:r>
        <w:t xml:space="preserve">Tijekom 2025. godine prodano je 7 službenih vozila i nabavljeno jedno novo vozilo.</w:t>
      </w:r>
    </w:p>
    <w:p/>
    <w:p>
      <w:pPr>
        <w:jc w:val="center"/>
        <w:pStyle w:val="Normal"/>
        <w:spacing w:line="240" w:lineRule="auto"/>
        <w:keepNext/>
      </w:pPr>
      <w:r>
        <w:rPr>
          <w:sz w:val="28"/>
          <w:rFonts w:ascii="Times New Roman" w:hAnsi="Times New Roman"/>
        </w:rPr>
        <w:t xml:space="preserve">Bilješka 39.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0262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Ulaganja u računalne programe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451.250,00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Krapinsko-zagorska županija je tijekom 2025. godine krenula s poslovanjem preko jedinstvenog računa proračuna tj. u punu riznicu ušlo je 45 korisnika kojima je županija osigurala jedinstveno računovodstveno rješenje.</w:t>
      </w:r>
    </w:p>
    <w:p/>
    <w:p>
      <w:pPr>
        <w:jc w:val="center"/>
        <w:pStyle w:val="Normal"/>
        <w:spacing w:line="240" w:lineRule="auto"/>
        <w:keepNext/>
      </w:pPr>
      <w:r>
        <w:rPr>
          <w:sz w:val="28"/>
          <w:rFonts w:ascii="Times New Roman" w:hAnsi="Times New Roman"/>
        </w:rPr>
        <w:t xml:space="preserve">Bilješka 40.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Građevinski objekti u pripremi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7.213.896,77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15.455.522,79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214,2</w:t>
            </w:r>
          </w:p>
        </w:tc>
      </w:tr>
    </w:tbl>
    <w:p>
      <w:pPr>
        <w:spacing w:before="0" w:after="0"/>
      </w:pPr>
    </w:p>
    <w:p>
      <w:r>
        <w:t xml:space="preserve">Poslovni objekti u pripremi bilježe značajno povećanje u 2025. godini zbog počekta velikih kapitalnih projekata vazanih uglavnom za Nacionalni plan oporavka i odgovornosti.</w:t>
      </w:r>
    </w:p>
    <w:p/>
    <w:p>
      <w:pPr>
        <w:jc w:val="center"/>
        <w:pStyle w:val="Normal"/>
        <w:spacing w:line="240" w:lineRule="auto"/>
        <w:keepNext/>
      </w:pPr>
      <w:r>
        <w:rPr>
          <w:sz w:val="28"/>
          <w:rFonts w:ascii="Times New Roman" w:hAnsi="Times New Roman"/>
        </w:rPr>
        <w:t xml:space="preserve">Bilješka 41.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1122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Depoziti kod kreditnih i ostalih financijskih institucija - tuzemni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1122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369.936,90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10.369.936,90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2803,2</w:t>
            </w:r>
          </w:p>
        </w:tc>
      </w:tr>
    </w:tbl>
    <w:p>
      <w:pPr>
        <w:spacing w:before="0" w:after="0"/>
      </w:pPr>
    </w:p>
    <w:p>
      <w:pPr>
        <w:pStyle w:val="ListParagraph"/>
        <w:numPr>
          <w:ilvl w:val="0"/>
          <w:numId w:val="2"/>
        </w:numPr>
      </w:pPr>
      <w:r>
        <w:t xml:space="preserve">Namjenski oročeni depozit u banci = 10.000.000,00</w:t>
      </w:r>
    </w:p>
    <w:p>
      <w:pPr>
        <w:pStyle w:val="ListParagraph"/>
        <w:numPr>
          <w:ilvl w:val="0"/>
          <w:numId w:val="2"/>
        </w:numPr>
      </w:pPr>
      <w:r>
        <w:t xml:space="preserve">Depoziti za kreditiranje malih poduzetnika = 369.936,90 - prema novom Pravilniku prijenos sa konto 1211</w:t>
      </w:r>
    </w:p>
    <w:p/>
    <w:p>
      <w:pPr>
        <w:jc w:val="center"/>
        <w:pStyle w:val="Normal"/>
        <w:spacing w:line="240" w:lineRule="auto"/>
        <w:keepNext/>
      </w:pPr>
      <w:r>
        <w:rPr>
          <w:sz w:val="28"/>
          <w:rFonts w:ascii="Times New Roman" w:hAnsi="Times New Roman"/>
        </w:rPr>
        <w:t xml:space="preserve">Bilješka 42.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Potraživanja za pomoći iz inozemstva i od subjekata unutar općeg proračuna (šifre 1631 do 1638)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344.247,16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2.216.362,88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643,8</w:t>
            </w:r>
          </w:p>
        </w:tc>
      </w:tr>
    </w:tbl>
    <w:p>
      <w:pPr>
        <w:spacing w:before="0" w:after="0"/>
      </w:pPr>
    </w:p>
    <w:p>
      <w:r>
        <w:t xml:space="preserve">Značajno povećanje u 2025. godini zbog početka velikih kapitalnih projekata (izgradnja Centra za odgoj i obrazovanje, rekonstrukcije i dogranje OŠ Brestovec Orehovički, sanacija sanitarija u OŠ Mače, energetska obnova ambulante u Budinščini, projekt Baltazar 8). Veza na šifru 963.</w:t>
      </w:r>
    </w:p>
    <w:p/>
    <w:p>
      <w:pPr>
        <w:jc w:val="center"/>
        <w:pStyle w:val="Normal"/>
        <w:spacing w:line="240" w:lineRule="auto"/>
        <w:keepNext/>
      </w:pPr>
      <w:r>
        <w:rPr>
          <w:sz w:val="28"/>
          <w:rFonts w:ascii="Times New Roman" w:hAnsi="Times New Roman"/>
        </w:rPr>
        <w:t xml:space="preserve">Bilješka 43.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budućih razdoblja i nedospjela naplata prihoda (aktivna vremenska razgraničenja) (šifre 191 do 193)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391.695,55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Prema novom Pravilniku o proračunskom računovodstu i računskom planu koji je u primjeni od siječnja 2025. godine konto 193 brisan je iz računskog plana.</w:t>
      </w:r>
    </w:p>
    <w:p/>
    <w:p>
      <w:pPr>
        <w:jc w:val="center"/>
        <w:pStyle w:val="Normal"/>
        <w:spacing w:line="240" w:lineRule="auto"/>
        <w:keepNext/>
      </w:pPr>
      <w:r>
        <w:rPr>
          <w:sz w:val="28"/>
          <w:rFonts w:ascii="Times New Roman" w:hAnsi="Times New Roman"/>
        </w:rPr>
        <w:t xml:space="preserve">Bilješka 44.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236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pomoći dane u inozemstvo i unutar općeg proračuna (šifre 2361 do 2368)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49.652,61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Od siječnja 2025. godine novim Pravilnikom otvorena su nova konta - obveze za pomoći </w:t>
      </w:r>
    </w:p>
    <w:p/>
    <w:p>
      <w:pPr>
        <w:jc w:val="center"/>
        <w:pStyle w:val="Normal"/>
        <w:spacing w:line="240" w:lineRule="auto"/>
        <w:keepNext/>
      </w:pPr>
      <w:r>
        <w:rPr>
          <w:sz w:val="28"/>
          <w:rFonts w:ascii="Times New Roman" w:hAnsi="Times New Roman"/>
        </w:rPr>
        <w:t xml:space="preserve">Bilješka 45.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237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naknade građanima i kućanstvima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284.794,24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702.315,45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246,6</w:t>
            </w:r>
          </w:p>
        </w:tc>
      </w:tr>
    </w:tbl>
    <w:p>
      <w:pPr>
        <w:spacing w:before="0" w:after="0"/>
      </w:pPr>
    </w:p>
    <w:p>
      <w:r>
        <w:t xml:space="preserve">Značajno povećanje zbog neplaćenih obveza prema dobavljačima za prijevoz učenika osnovih i srednjih škola za prosinac 2025. godine.</w:t>
      </w:r>
    </w:p>
    <w:p/>
    <w:p>
      <w:pPr>
        <w:jc w:val="center"/>
        <w:pStyle w:val="Normal"/>
        <w:spacing w:line="240" w:lineRule="auto"/>
        <w:keepNext/>
      </w:pPr>
      <w:r>
        <w:rPr>
          <w:sz w:val="28"/>
          <w:rFonts w:ascii="Times New Roman" w:hAnsi="Times New Roman"/>
        </w:rPr>
        <w:t xml:space="preserve">Bilješka 46.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nabavu nefinancijske imovine (šifre 241 do 245)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10.940,00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332.046,45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3035,2</w:t>
            </w:r>
          </w:p>
        </w:tc>
      </w:tr>
    </w:tbl>
    <w:p>
      <w:pPr>
        <w:spacing w:before="0" w:after="0"/>
      </w:pPr>
    </w:p>
    <w:p>
      <w:r>
        <w:t xml:space="preserve">Nedospjele obveze prema dobavljačima zbog nastavka starih i početka novih velikih kapitalnih projekata</w:t>
      </w:r>
    </w:p>
    <w:p/>
    <w:p>
      <w:pPr>
        <w:jc w:val="center"/>
        <w:pStyle w:val="Normal"/>
        <w:spacing w:line="240" w:lineRule="auto"/>
        <w:keepNext/>
      </w:pPr>
      <w:r>
        <w:rPr>
          <w:sz w:val="28"/>
          <w:rFonts w:ascii="Times New Roman" w:hAnsi="Times New Roman"/>
        </w:rPr>
        <w:t xml:space="preserve">Bilješka 47.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2671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zajmove od državnog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2671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1.154.402,73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399.112,42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34,6</w:t>
            </w:r>
          </w:p>
        </w:tc>
      </w:tr>
    </w:tbl>
    <w:p>
      <w:pPr>
        <w:spacing w:before="0" w:after="0"/>
      </w:pPr>
    </w:p>
    <w:p>
      <w:r>
        <w:t xml:space="preserve">Smanjenje obveza prema Državnom proračunu zbog povrata beskamatnog zajma tijekom 2025. godine.</w:t>
      </w:r>
    </w:p>
    <w:p/>
    <w:p>
      <w:pPr>
        <w:jc w:val="center"/>
        <w:pStyle w:val="Normal"/>
        <w:spacing w:line="240" w:lineRule="auto"/>
        <w:keepNext/>
      </w:pPr>
      <w:r>
        <w:rPr>
          <w:sz w:val="28"/>
          <w:rFonts w:ascii="Times New Roman" w:hAnsi="Times New Roman"/>
        </w:rPr>
        <w:t xml:space="preserve">Bilješka 48.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predujmove, depozite, jamčevne pologe i tuđe prihode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3.789.635,41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6.865.213,64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181,2</w:t>
            </w:r>
          </w:p>
        </w:tc>
      </w:tr>
    </w:tbl>
    <w:p>
      <w:pPr>
        <w:spacing w:before="0" w:after="0"/>
      </w:pPr>
    </w:p>
    <w:p>
      <w:r>
        <w:t xml:space="preserve">Povećanje u odnosu na prethodnu godinu zbog evidentiranja obveza proračuna za naplaćena sredstva proračunskog korisnika (1.842.136,40)-konto 27411 poslovanje putem jedinstvenog računa proračuna te zbog značajnih sredstava primljenih EU predujmova. </w:t>
      </w:r>
    </w:p>
    <w:p/>
    <w:p>
      <w:pPr>
        <w:jc w:val="center"/>
        <w:pStyle w:val="Normal"/>
        <w:spacing w:line="240" w:lineRule="auto"/>
        <w:keepNext/>
      </w:pPr>
      <w:r>
        <w:rPr>
          <w:sz w:val="28"/>
          <w:rFonts w:ascii="Times New Roman" w:hAnsi="Times New Roman"/>
        </w:rPr>
        <w:t xml:space="preserve">Bilješka 49.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Rezultat - višak/manjak (šifre 9221-9222)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17.668.247,03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14.835.049,22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84,0</w:t>
            </w:r>
          </w:p>
        </w:tc>
      </w:tr>
    </w:tbl>
    <w:p>
      <w:pPr>
        <w:spacing w:before="0" w:after="0"/>
      </w:pPr>
    </w:p>
    <w:p>
      <w:r>
        <w:t xml:space="preserve">Krapinsko-zagorska županija završila je 2025. godinu s manjkom od 2.857.103,27 eura. Realizirani su veliki kapitalni projekti dok prihodi nisu evidentirani do trenutka odobrenja ZNS-ova.</w:t>
      </w:r>
    </w:p>
    <w:p/>
    <w:p>
      <w:pPr>
        <w:jc w:val="center"/>
        <w:pStyle w:val="Normal"/>
        <w:spacing w:line="240" w:lineRule="auto"/>
        <w:keepNext/>
      </w:pPr>
      <w:r>
        <w:rPr>
          <w:sz w:val="28"/>
          <w:rFonts w:ascii="Times New Roman" w:hAnsi="Times New Roman"/>
        </w:rPr>
        <w:t xml:space="preserve">Bilješka 50.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991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Izvanbilančni zapisi - aktiva (šifra 996)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25.669.383,59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86.001.672,63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335,0</w:t>
            </w:r>
          </w:p>
        </w:tc>
      </w:tr>
    </w:tbl>
    <w:p>
      <w:pPr>
        <w:spacing w:before="0" w:after="0"/>
      </w:pPr>
    </w:p>
    <w:p>
      <w:r>
        <w:t xml:space="preserve">Značajno povećanja u 2025. godini zbog evidentiranja potraživanja po ugovorima o dodjeljenim bespovratnim sredstvima iz EU fondova (55.211.566,42) te danog jamstva za zduživanje RCGO Piškornica (3.757.500,00).</w:t>
      </w:r>
    </w:p>
    <w:p/>
    <w:p>
      <w:pPr>
        <w:jc w:val="center"/>
        <w:pStyle w:val="Normal"/>
        <w:spacing w:line="240" w:lineRule="auto"/>
        <w:keepNext/>
      </w:pPr>
      <w:r>
        <w:rPr>
          <w:b/>
          <w:sz w:val="28"/>
          <w:rFonts w:ascii="Times New Roman" w:hAnsi="Times New Roman"/>
        </w:rPr>
        <w:t xml:space="preserve">Izvještaj o rashodima prema funkcijskoj klasifikaciji</w:t>
      </w:r>
    </w:p>
    <w:p>
      <w:pPr>
        <w:jc w:val="center"/>
        <w:pStyle w:val="Normal"/>
        <w:spacing w:line="240" w:lineRule="auto"/>
        <w:keepNext/>
      </w:pPr>
      <w:r>
        <w:rPr>
          <w:sz w:val="28"/>
          <w:rFonts w:ascii="Times New Roman" w:hAnsi="Times New Roman"/>
        </w:rPr>
        <w:t xml:space="preserve">Bilješka 51.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016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Opće javne usluge koje nisu drugdje svrstane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016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190.977,39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U odnosu na izvještajno razdoblje prethodne godine nema realizacije zbog završetka projekta Fonda solidarnosti za vraćanje u prvobitno radno stanje infrastrukture i snaciju klizišta nastalih uslijed potresa</w:t>
      </w:r>
    </w:p>
    <w:p/>
    <w:p>
      <w:pPr>
        <w:jc w:val="center"/>
        <w:pStyle w:val="Normal"/>
        <w:spacing w:line="240" w:lineRule="auto"/>
        <w:keepNext/>
      </w:pPr>
      <w:r>
        <w:rPr>
          <w:sz w:val="28"/>
          <w:rFonts w:ascii="Times New Roman" w:hAnsi="Times New Roman"/>
        </w:rPr>
        <w:t xml:space="preserve">Bilješka 52.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Promet (šifre 0451 do 0455)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045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127.315,22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345.402,29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271,3</w:t>
            </w:r>
          </w:p>
        </w:tc>
      </w:tr>
    </w:tbl>
    <w:p>
      <w:pPr>
        <w:spacing w:before="0" w:after="0"/>
      </w:pPr>
    </w:p>
    <w:p>
      <w:r>
        <w:t xml:space="preserve">Povećanje u tekućem razdoblju zbog sufinanciranja javnolinijskog prijevoza putnika</w:t>
      </w:r>
    </w:p>
    <w:p/>
    <w:p>
      <w:pPr>
        <w:jc w:val="center"/>
        <w:pStyle w:val="Normal"/>
        <w:spacing w:line="240" w:lineRule="auto"/>
        <w:keepNext/>
      </w:pPr>
      <w:r>
        <w:rPr>
          <w:sz w:val="28"/>
          <w:rFonts w:ascii="Times New Roman" w:hAnsi="Times New Roman"/>
        </w:rPr>
        <w:t xml:space="preserve">Bilješka 53.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0473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Turizam</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0473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212.684,55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403.603,56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189,8</w:t>
            </w:r>
          </w:p>
        </w:tc>
      </w:tr>
    </w:tbl>
    <w:p>
      <w:pPr>
        <w:spacing w:before="0" w:after="0"/>
      </w:pPr>
    </w:p>
    <w:p>
      <w:r>
        <w:t xml:space="preserve">Povećani troškovi sufinanciranja rada i promocije Turističke zajednice KZŽ</w:t>
      </w:r>
    </w:p>
    <w:p/>
    <w:p>
      <w:pPr>
        <w:jc w:val="center"/>
        <w:pStyle w:val="Normal"/>
        <w:spacing w:line="240" w:lineRule="auto"/>
        <w:keepNext/>
      </w:pPr>
      <w:r>
        <w:rPr>
          <w:sz w:val="28"/>
          <w:rFonts w:ascii="Times New Roman" w:hAnsi="Times New Roman"/>
        </w:rPr>
        <w:t xml:space="preserve">Bilješka 54.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Zaštita okoliša (šifre 051 do 056)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253.194,58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422.677,49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166,9</w:t>
            </w:r>
          </w:p>
        </w:tc>
      </w:tr>
    </w:tbl>
    <w:p>
      <w:pPr>
        <w:spacing w:before="0" w:after="0"/>
      </w:pPr>
    </w:p>
    <w:p>
      <w:r>
        <w:t xml:space="preserve">Smanjenje rashoda u izvještajnom razdoblju zbog završetka projekta Hypokrat</w:t>
      </w:r>
    </w:p>
    <w:p/>
    <w:p>
      <w:pPr>
        <w:jc w:val="center"/>
        <w:pStyle w:val="Normal"/>
        <w:spacing w:line="240" w:lineRule="auto"/>
        <w:keepNext/>
      </w:pPr>
      <w:r>
        <w:rPr>
          <w:sz w:val="28"/>
          <w:rFonts w:ascii="Times New Roman" w:hAnsi="Times New Roman"/>
        </w:rPr>
        <w:t xml:space="preserve">Bilješka 55.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Gospodarenje otpadom</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177.051,62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396.427,49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223,9</w:t>
            </w:r>
          </w:p>
        </w:tc>
      </w:tr>
    </w:tbl>
    <w:p>
      <w:pPr>
        <w:spacing w:before="0" w:after="0"/>
      </w:pPr>
    </w:p>
    <w:p>
      <w:r>
        <w:t xml:space="preserve">U izvještajnom razdoblju tekuće godine evidentirano više isplata prema Centru za gospodarenje otpadom Piškornica za provedbu investicija</w:t>
      </w:r>
    </w:p>
    <w:p/>
    <w:p>
      <w:pPr>
        <w:jc w:val="center"/>
        <w:pStyle w:val="Normal"/>
        <w:spacing w:line="240" w:lineRule="auto"/>
        <w:keepNext/>
      </w:pPr>
      <w:r>
        <w:rPr>
          <w:sz w:val="28"/>
          <w:rFonts w:ascii="Times New Roman" w:hAnsi="Times New Roman"/>
        </w:rPr>
        <w:t xml:space="preserve">Bilješka 56.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062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Razvoj zajednice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62.604,10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 tekućem razdoblju započet projekt uređivanja staze kroz krošnje u Zelenjaku</w:t>
      </w:r>
    </w:p>
    <w:p/>
    <w:p>
      <w:pPr>
        <w:jc w:val="center"/>
        <w:pStyle w:val="Normal"/>
        <w:spacing w:line="240" w:lineRule="auto"/>
        <w:keepNext/>
      </w:pPr>
      <w:r>
        <w:rPr>
          <w:sz w:val="28"/>
          <w:rFonts w:ascii="Times New Roman" w:hAnsi="Times New Roman"/>
        </w:rPr>
        <w:t xml:space="preserve">Bilješka 57.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066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vezani za stanovanje i kom. pogodnosti koji nisu drugdje svrstani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1.585.892,49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774.166,18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48,8</w:t>
            </w:r>
          </w:p>
        </w:tc>
      </w:tr>
    </w:tbl>
    <w:p>
      <w:pPr>
        <w:spacing w:before="0" w:after="0"/>
      </w:pPr>
    </w:p>
    <w:p>
      <w:r>
        <w:t xml:space="preserve">Znatno smanjenje u odnosu na prethodnu godinu jer nije bilo rashoda prema Županijskoj upravi za ceste za sanaciju klizišta</w:t>
      </w:r>
    </w:p>
    <w:p/>
    <w:p>
      <w:pPr>
        <w:jc w:val="center"/>
        <w:pStyle w:val="Normal"/>
        <w:spacing w:line="240" w:lineRule="auto"/>
        <w:keepNext/>
      </w:pPr>
      <w:r>
        <w:rPr>
          <w:sz w:val="28"/>
          <w:rFonts w:ascii="Times New Roman" w:hAnsi="Times New Roman"/>
        </w:rPr>
        <w:t xml:space="preserve">Bilješka 58.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083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Službe emitiranja i izdavanja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083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92.394,32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407.610,85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441,2</w:t>
            </w:r>
          </w:p>
        </w:tc>
      </w:tr>
    </w:tbl>
    <w:p>
      <w:pPr>
        <w:spacing w:before="0" w:after="0"/>
      </w:pPr>
    </w:p>
    <w:p>
      <w:r>
        <w:t xml:space="preserve">U tekućem razdoblju povećani troškovi za kulturu (izdavanje knjiga, zbirki pjesama, izdaci za knjižnice)</w:t>
      </w:r>
    </w:p>
    <w:p/>
    <w:p>
      <w:pPr>
        <w:jc w:val="center"/>
        <w:pStyle w:val="Normal"/>
        <w:spacing w:line="240" w:lineRule="auto"/>
        <w:keepNext/>
      </w:pPr>
      <w:r>
        <w:rPr>
          <w:sz w:val="28"/>
          <w:rFonts w:ascii="Times New Roman" w:hAnsi="Times New Roman"/>
        </w:rPr>
        <w:t xml:space="preserve">Bilješka 59.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0912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Osnovno obrazovanje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0912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618.857,57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2.999.211,37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484,6</w:t>
            </w:r>
          </w:p>
        </w:tc>
      </w:tr>
    </w:tbl>
    <w:p>
      <w:pPr>
        <w:spacing w:before="0" w:after="0"/>
      </w:pPr>
    </w:p>
    <w:p>
      <w:r>
        <w:t xml:space="preserve">Značajno povećanje u tekućem razdoblju zbog izgradnje Centra za odgoj i obrazovanje Krapinske Toplice</w:t>
      </w:r>
    </w:p>
    <w:p/>
    <w:p>
      <w:pPr>
        <w:jc w:val="center"/>
        <w:pStyle w:val="Normal"/>
        <w:spacing w:line="240" w:lineRule="auto"/>
        <w:keepNext/>
      </w:pPr>
      <w:r>
        <w:rPr>
          <w:sz w:val="28"/>
          <w:rFonts w:ascii="Times New Roman" w:hAnsi="Times New Roman"/>
        </w:rPr>
        <w:t xml:space="preserve">Bilješka 60.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098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Usluge obrazovanja koje nisu drugdje svrstane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098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1.479.289,67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7.478.437,30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505,5</w:t>
            </w:r>
          </w:p>
        </w:tc>
      </w:tr>
    </w:tbl>
    <w:p>
      <w:pPr>
        <w:spacing w:before="0" w:after="0"/>
      </w:pPr>
    </w:p>
    <w:p>
      <w:r>
        <w:t xml:space="preserve">Značajno povećanje zbog obnove i dogradnje škola u sklopu Nacionalnog plana za oporavak i otpornost, sufinanciranje 50% cijena radnih bilježnica</w:t>
      </w:r>
    </w:p>
    <w:p/>
    <w:p>
      <w:pPr>
        <w:jc w:val="center"/>
        <w:pStyle w:val="Normal"/>
        <w:spacing w:line="240" w:lineRule="auto"/>
        <w:keepNext/>
      </w:pPr>
      <w:r>
        <w:rPr>
          <w:b/>
          <w:sz w:val="28"/>
          <w:rFonts w:ascii="Times New Roman" w:hAnsi="Times New Roman"/>
        </w:rPr>
        <w:t xml:space="preserve">Promjene u vrijednosti i obujmu imovine i obveza</w:t>
      </w:r>
    </w:p>
    <w:p>
      <w:pPr>
        <w:jc w:val="center"/>
        <w:pStyle w:val="Normal"/>
        <w:spacing w:line="240" w:lineRule="auto"/>
        <w:keepNext/>
      </w:pPr>
      <w:r>
        <w:rPr>
          <w:sz w:val="28"/>
          <w:rFonts w:ascii="Times New Roman" w:hAnsi="Times New Roman"/>
        </w:rPr>
        <w:t xml:space="preserve">Bilješka 61.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povećanja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smanjenja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Proizvedena dugotrajna imovina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345.723,68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Smanjenje se odnosi na ispravak vrijednosti dugotrajne nefinancijske imovine koji se prema novom Pravilniku o proračunskom računovodstvu i računskom planu koji je u primjeni od siječnja 2025. godine, evidentira preko konta 915.</w:t>
      </w:r>
    </w:p>
    <w:p/>
    <w:p>
      <w:pPr>
        <w:jc w:val="center"/>
        <w:pStyle w:val="Normal"/>
        <w:spacing w:line="240" w:lineRule="auto"/>
        <w:keepNext/>
      </w:pPr>
      <w:r>
        <w:rPr>
          <w:sz w:val="28"/>
          <w:rFonts w:ascii="Times New Roman" w:hAnsi="Times New Roman"/>
        </w:rPr>
        <w:t xml:space="preserve">Bilješka 62.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povećanja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smanjenja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Proizvedena dugotrajna imovina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P018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3.173,35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Krapinsko-zagorska županija je tijekom 2025. godina Ministastvu unutanjih poslova (interventna jedinica PU KZŽ) donirala opremu za teretanu.</w:t>
      </w:r>
    </w:p>
    <w:p/>
    <w:p>
      <w:pPr>
        <w:jc w:val="center"/>
        <w:pStyle w:val="Normal"/>
        <w:spacing w:line="240" w:lineRule="auto"/>
        <w:keepNext/>
      </w:pPr>
      <w:r>
        <w:rPr>
          <w:sz w:val="28"/>
          <w:rFonts w:ascii="Times New Roman" w:hAnsi="Times New Roman"/>
        </w:rPr>
        <w:t xml:space="preserve">Bilješka 63.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povećanja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smanjenja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Dugotrajna nefinancijska imovina u pripremi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P021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1.289.115,70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Tijekom 2025. godine Krapinsko-zagorska županija uložila je značajna sredstva u kapitalne projekte te je izvršila prijenos navedenih ulaganja na korisnike iz vlastite nadležnosti:</w:t>
      </w:r>
    </w:p>
    <w:p>
      <w:pPr>
        <w:pStyle w:val="ListParagraph"/>
        <w:numPr>
          <w:ilvl w:val="0"/>
          <w:numId w:val="2"/>
        </w:numPr>
      </w:pPr>
      <w:r>
        <w:t xml:space="preserve">Osnovna škola Konjščina - rekonstrukcija sustava grijanja = 92.865,60</w:t>
      </w:r>
    </w:p>
    <w:p>
      <w:pPr>
        <w:pStyle w:val="ListParagraph"/>
        <w:numPr>
          <w:ilvl w:val="0"/>
          <w:numId w:val="2"/>
        </w:numPr>
      </w:pPr>
      <w:r>
        <w:t xml:space="preserve">Dom zdravlja KZŽ - energetska obnova ambulante Novi Golubovec = 109.099,43</w:t>
      </w:r>
    </w:p>
    <w:p>
      <w:pPr>
        <w:pStyle w:val="ListParagraph"/>
        <w:numPr>
          <w:ilvl w:val="0"/>
          <w:numId w:val="2"/>
        </w:numPr>
      </w:pPr>
      <w:r>
        <w:t xml:space="preserve">Dom zdravlja KZŽ - elektrotehnička energetska obnova ambulante u Pregradi = 80.322,07</w:t>
      </w:r>
    </w:p>
    <w:p>
      <w:pPr>
        <w:pStyle w:val="ListParagraph"/>
        <w:numPr>
          <w:ilvl w:val="0"/>
          <w:numId w:val="2"/>
        </w:numPr>
      </w:pPr>
      <w:r>
        <w:t xml:space="preserve">Osnovna škola Mače - rekonstrukcija i opremanje za cjelodnevnu nastavu = 320.284,07</w:t>
      </w:r>
    </w:p>
    <w:p>
      <w:pPr>
        <w:pStyle w:val="ListParagraph"/>
        <w:numPr>
          <w:ilvl w:val="0"/>
          <w:numId w:val="2"/>
        </w:numPr>
      </w:pPr>
      <w:r>
        <w:t xml:space="preserve">Osnovna škola Tuhelj - sanacija i otklanjanje nedostataka na sportskoj dvorani = 371.230,52</w:t>
      </w:r>
    </w:p>
    <w:p>
      <w:pPr>
        <w:pStyle w:val="ListParagraph"/>
        <w:numPr>
          <w:ilvl w:val="0"/>
          <w:numId w:val="2"/>
        </w:numPr>
      </w:pPr>
      <w:r>
        <w:t xml:space="preserve">Osnovna škola Sveti Križ Začretje - uređenje školskog igrališta = 315.314,01</w:t>
      </w:r>
    </w:p>
    <w:p/>
    <w:p>
      <w:pPr>
        <w:jc w:val="center"/>
        <w:pStyle w:val="Normal"/>
        <w:spacing w:line="240" w:lineRule="auto"/>
        <w:keepNext/>
      </w:pPr>
      <w:r>
        <w:rPr>
          <w:b/>
          <w:sz w:val="28"/>
          <w:rFonts w:ascii="Times New Roman" w:hAnsi="Times New Roman"/>
        </w:rPr>
        <w:t xml:space="preserve">Izvještaj o obvezama</w:t>
      </w:r>
    </w:p>
    <w:p>
      <w:pPr>
        <w:jc w:val="center"/>
        <w:pStyle w:val="Normal"/>
        <w:spacing w:line="240" w:lineRule="auto"/>
        <w:keepNext/>
      </w:pPr>
      <w:r>
        <w:rPr>
          <w:sz w:val="28"/>
          <w:rFonts w:ascii="Times New Roman" w:hAnsi="Times New Roman"/>
        </w:rPr>
        <w:t xml:space="preserve">Bilješka 64.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dospjelih obveza na kraju izvještajnog razdoblja (šifre V008+D23+D24 + 'D dio 25,26' + 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2.974,02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Stanje dospjelih obveza u iznosu od 2.974,02 eura odnosi se na račune prema dobavljačima koji su prekasno dostavljeni na plaćanje pa su prekoračeni rokovi dospjeća plaćanja.</w:t>
      </w:r>
    </w:p>
    <w:p/>
    <w:p>
      <w:pPr>
        <w:jc w:val="center"/>
        <w:pStyle w:val="Normal"/>
        <w:spacing w:line="240" w:lineRule="auto"/>
        <w:keepNext/>
      </w:pPr>
      <w:r>
        <w:rPr>
          <w:sz w:val="28"/>
          <w:rFonts w:ascii="Times New Roman" w:hAnsi="Times New Roman"/>
        </w:rPr>
        <w:t xml:space="preserve">Bilješka 65.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Međusobne obveze subjekata općeg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1.842.416,03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Nedospjele međusobne obveze subjekata općeg proračuna su:</w:t>
      </w:r>
    </w:p>
    <w:p>
      <w:pPr>
        <w:pStyle w:val="ListParagraph"/>
        <w:numPr>
          <w:ilvl w:val="0"/>
          <w:numId w:val="2"/>
        </w:numPr>
      </w:pPr>
      <w:r>
        <w:t xml:space="preserve">Obveze proračuna za naplaćena sredstva proračunskog korisnika = 1.842.136,40</w:t>
      </w:r>
    </w:p>
    <w:p>
      <w:pPr>
        <w:pStyle w:val="ListParagraph"/>
        <w:numPr>
          <w:ilvl w:val="0"/>
          <w:numId w:val="2"/>
        </w:numPr>
      </w:pPr>
      <w:r>
        <w:t xml:space="preserve">Obveza prema općini Veliko Trgovišće = 79,63</w:t>
      </w:r>
    </w:p>
    <w:p>
      <w:pPr>
        <w:pStyle w:val="ListParagraph"/>
        <w:numPr>
          <w:ilvl w:val="0"/>
          <w:numId w:val="2"/>
        </w:numPr>
      </w:pPr>
      <w:r>
        <w:t xml:space="preserve">Obveza prema općini Desinić = 200,00</w:t>
      </w:r>
    </w:p>
    <w:p/>
    <w:p>
      <w:pPr>
        <w:jc w:val="center"/>
        <w:pStyle w:val="Normal"/>
        <w:spacing w:line="240" w:lineRule="auto"/>
        <w:keepNext/>
      </w:pPr>
      <w:r>
        <w:rPr>
          <w:sz w:val="28"/>
          <w:rFonts w:ascii="Times New Roman" w:hAnsi="Times New Roman"/>
        </w:rPr>
        <w:t xml:space="preserve">Bilješka 66.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rashode poslovanja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ND23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2.310.163,63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Nedospjele obveze za rashode poslovanja su:</w:t>
      </w:r>
    </w:p>
    <w:p>
      <w:pPr>
        <w:pStyle w:val="ListParagraph"/>
        <w:numPr>
          <w:ilvl w:val="0"/>
          <w:numId w:val="2"/>
        </w:numPr>
      </w:pPr>
      <w:r>
        <w:t xml:space="preserve">Obveze prama dobavljačima = 905.431,28</w:t>
      </w:r>
    </w:p>
    <w:p>
      <w:pPr>
        <w:pStyle w:val="ListParagraph"/>
        <w:numPr>
          <w:ilvl w:val="0"/>
          <w:numId w:val="2"/>
        </w:numPr>
      </w:pPr>
      <w:r>
        <w:t xml:space="preserve">Obveze za isplatu plaće 12/25 = 450.086,62</w:t>
      </w:r>
    </w:p>
    <w:p>
      <w:pPr>
        <w:pStyle w:val="ListParagraph"/>
        <w:numPr>
          <w:ilvl w:val="0"/>
          <w:numId w:val="2"/>
        </w:numPr>
      </w:pPr>
      <w:r>
        <w:t xml:space="preserve">Obveze prama komunalnim poduzećima za sanaciju odlagališta otpada = 954.459,37</w:t>
      </w:r>
    </w:p>
    <w:p>
      <w:pPr>
        <w:pStyle w:val="ListParagraph"/>
        <w:numPr>
          <w:ilvl w:val="0"/>
          <w:numId w:val="2"/>
        </w:numPr>
      </w:pPr>
      <w:r>
        <w:t xml:space="preserve">Ostale obveze = 186,36</w:t>
      </w:r>
    </w:p>
    <w:p/>
    <w:p>
      <w:pPr>
        <w:jc w:val="center"/>
        <w:pStyle w:val="Normal"/>
        <w:spacing w:line="240" w:lineRule="auto"/>
        <w:keepNext/>
      </w:pPr>
      <w:r>
        <w:rPr>
          <w:sz w:val="28"/>
          <w:rFonts w:ascii="Times New Roman" w:hAnsi="Times New Roman"/>
        </w:rPr>
        <w:t xml:space="preserve">Bilješka 67.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nabavu nefinancijske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ND24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332.046,45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Obveze prema dobavljačima za izvršene radove i usluge na kapitalnim projektima (OŠ Br. Orehovički, dvorac Stubički Golubovec, PŠ Dubrovčan) </w:t>
      </w:r>
    </w:p>
    <w:p/>
    <w:p>
      <w:pPr>
        <w:jc w:val="center"/>
        <w:pStyle w:val="Normal"/>
        <w:spacing w:line="240" w:lineRule="auto"/>
        <w:keepNext/>
      </w:pPr>
      <w:r>
        <w:rPr>
          <w:sz w:val="28"/>
          <w:rFonts w:ascii="Times New Roman" w:hAnsi="Times New Roman"/>
        </w:rPr>
        <w:t xml:space="preserve">Bilješka 68.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dio 25,26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financijsku imovinu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ND dio 25,26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3.879.757,15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Nedospjele obveze za financijsku imovinu su:</w:t>
      </w:r>
    </w:p>
    <w:p>
      <w:pPr>
        <w:pStyle w:val="ListParagraph"/>
        <w:numPr>
          <w:ilvl w:val="0"/>
          <w:numId w:val="2"/>
        </w:numPr>
      </w:pPr>
      <w:r>
        <w:t xml:space="preserve">Obveze prema Privrednoj banci Zagreb za otplatu glavnice primljenih kredita = 3.219.170,10</w:t>
      </w:r>
    </w:p>
    <w:p>
      <w:pPr>
        <w:pStyle w:val="ListParagraph"/>
        <w:numPr>
          <w:ilvl w:val="0"/>
          <w:numId w:val="2"/>
        </w:numPr>
      </w:pPr>
      <w:r>
        <w:t xml:space="preserve">Obveze za zajmove od državnog proračuna za odgođena plaćanja poduzetnika = 105.510,56</w:t>
      </w:r>
    </w:p>
    <w:p>
      <w:pPr>
        <w:pStyle w:val="ListParagraph"/>
        <w:numPr>
          <w:ilvl w:val="0"/>
          <w:numId w:val="2"/>
        </w:numPr>
      </w:pPr>
      <w:r>
        <w:t xml:space="preserve">Obveze prema Ministarstvu gospodarstva za povrat jamstvenog potencijala = 106.178,25</w:t>
      </w:r>
    </w:p>
    <w:p>
      <w:pPr>
        <w:pStyle w:val="ListParagraph"/>
        <w:numPr>
          <w:ilvl w:val="0"/>
          <w:numId w:val="2"/>
        </w:numPr>
      </w:pPr>
      <w:r>
        <w:t xml:space="preserve">Obveze prema Ministarstvu poljoprivrede za povrat depozita = 187.423,61 - dospijeće po otplati krajnjih korisnika</w:t>
      </w:r>
    </w:p>
    <w:p>
      <w:pPr>
        <w:pStyle w:val="ListParagraph"/>
        <w:numPr>
          <w:ilvl w:val="0"/>
          <w:numId w:val="2"/>
        </w:numPr>
      </w:pPr>
      <w:r>
        <w:t xml:space="preserve">Obveze prema JLS za garantni depozit za malo poduzetništvo i turizam = 261.474,63 - dospijeće po otplati krajnjih korisnika</w:t>
      </w:r>
    </w:p>
    <w:p/>
    <w:p>
      <w:pPr>
        <w:jc w:val="center"/>
        <w:pStyle w:val="Normal"/>
        <w:spacing w:line="240" w:lineRule="auto"/>
        <w:keepNext/>
      </w:pPr>
      <w:r>
        <w:rPr>
          <w:sz w:val="28"/>
          <w:rFonts w:ascii="Times New Roman" w:hAnsi="Times New Roman"/>
        </w:rPr>
        <w:t xml:space="preserve">Bilješka 69.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predujmove, depozite, jamčevne pologe i tuđe prihode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ND27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5.023.077,24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pPr>
        <w:pStyle w:val="ListParagraph"/>
        <w:numPr>
          <w:ilvl w:val="0"/>
          <w:numId w:val="2"/>
        </w:numPr>
      </w:pPr>
      <w:r>
        <w:t xml:space="preserve">Obveze za EU predujmove = 3.860.509,49</w:t>
      </w:r>
    </w:p>
    <w:p>
      <w:pPr>
        <w:pStyle w:val="ListParagraph"/>
        <w:numPr>
          <w:ilvl w:val="0"/>
          <w:numId w:val="2"/>
        </w:numPr>
      </w:pPr>
      <w:r>
        <w:t xml:space="preserve">Obveze za depozite (izvlaštenja) = 1.037.112,90</w:t>
      </w:r>
    </w:p>
    <w:p>
      <w:pPr>
        <w:pStyle w:val="ListParagraph"/>
        <w:numPr>
          <w:ilvl w:val="0"/>
          <w:numId w:val="2"/>
        </w:numPr>
      </w:pPr>
      <w:r>
        <w:t xml:space="preserve">Obveze za jamčevne pologe = 117.524,66</w:t>
      </w:r>
    </w:p>
    <w:p>
      <w:pPr>
        <w:pStyle w:val="ListParagraph"/>
        <w:numPr>
          <w:ilvl w:val="0"/>
          <w:numId w:val="2"/>
        </w:numPr>
      </w:pPr>
      <w:r>
        <w:t xml:space="preserve">Obveze za naplaćene tuđe prihode (tehnički pregledi) = 7.930,19</w:t>
      </w:r>
    </w:p>
    <w:p/>
    <w:p>
      <w:pPr>
        <w:jc w:val="center"/>
        <w:pStyle w:val="Normal"/>
        <w:spacing w:line="240" w:lineRule="auto"/>
        <w:keepNext/>
      </w:pPr>
      <w:r>
        <w:rPr>
          <w:sz w:val="28"/>
          <w:rFonts w:ascii="Times New Roman" w:hAnsi="Times New Roman"/>
        </w:rPr>
        <w:t xml:space="preserve">Bilješka 70.</w:t>
      </w:r>
    </w:p>
    <w:p>
      <w:pPr>
        <w:jc w:val="both"/>
        <w:pStyle w:val="Normal"/>
        <w:spacing w:line="240" w:lineRule="auto"/>
      </w:pPr>
      <w:r>
        <w:rPr>
          <w:b/>
          <w:sz w:val="24"/>
          <w:rFonts w:ascii="Times New Roman" w:hAnsi="Times New Roman"/>
        </w:rPr>
        <w:t xml:space="preserve">EU izvještaj</w:t>
      </w:r>
    </w:p>
    <w:p>
      <w:r>
        <w:t xml:space="preserve">EU izvještajem Krapinsko-zagorske županije obuhvaćeno je nacionalno sufinanciranje te izvori 510 Programi Unije, 561 Europski socijalni fond i 581 Mehanizam za oporavak i otpornost - bespovratna sredstva.</w:t>
      </w:r>
    </w:p>
    <w:p>
      <w:r>
        <w:t xml:space="preserve">Izvor 510 obuhvaća projekte Arcadiu  i Cross. Ukupni prihodi za navedene projekte iznose 24.777,19 eur, a rashodi 35.317,88 eur.</w:t>
      </w:r>
    </w:p>
    <w:p>
      <w:r>
        <w:t xml:space="preserve">Izvor 561 odnosi se na projekte Baltazar - pomoćnici u nastavi i Socijalni plan. Ukupni prihodi iznose 474.745,99 eur, a ukupni rashodi 706.491,50 eur.</w:t>
      </w:r>
    </w:p>
    <w:p>
      <w:r>
        <w:t xml:space="preserve">Izvor 581 odnosi se na projekte obnove Dvorca Stubički Golubovec, izgradnju Centra za odgoj i obrazovanje Krapinske Toplice te na izradu projektno-tehničke dokumentacije i obnovu i dogradnju osnovnih i srednjih škola u sklopu Nacionalnog plana za oporavak i otpornost. Ukupni prihodi za navedene projekte iznose 3.916.664,91 eur, a ukupni rashodi 4.410.930,46 eur. </w:t>
      </w:r>
    </w:p>
    <w:p>
      <w:r>
        <w:t xml:space="preserve">Nacionalno sufinanciranje obuhvaća prihode u iznosu od 75.025,91 eur i odnose se na projekt Baltazar - pomoćnici u nastavi. Ukupni rashodi iznose 450.983,93 eur.</w:t>
      </w:r>
    </w:p>
    <w:p/>
  </w:body>
</w:document>
</file>

<file path=word/numbering.xml><?xml version="1.0" encoding="utf-8"?>
<w:numbering xmlns:w="http://schemas.openxmlformats.org/wordprocessingml/2006/main">
  <w:abstractNum w:abstractNumId="1">
    <w:multiLevelType w:val="hybridMultilevel"/>
    <w:name w:val="decima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2">
    <w:abstractNumId w:val="1"/>
    <w:lvlOverride w:ilvl="0">
      <w:startOverride w:val="1"/>
    </w:lvlOverride>
  </w:num>
</w:numbering>
</file>

<file path=word/styles.xml><?xml version="1.0" encoding="utf-8"?>
<w:styles xmlns:w="http://schemas.openxmlformats.org/wordprocessingml/2006/main">
  <w:docDefaults>
    <w:rPrDefault>
      <w:rPr>
        <w:rFonts w:ascii="Times New Roman" w:hAnsi="Times New Roman"/>
        <w:sz w:val="24"/>
      </w:rPr>
    </w:rPrDefault>
  </w:docDefaults>
  <w:style w:type="paragraph" w:styleId="Normal" w:default="true">
    <w:name w:val="Normal"/>
    <w:rPr>
      <w:rFonts w:ascii="Times New Roman" w:hAnsi="Times New Roman"/>
      <w:sz w:val="24"/>
    </w:r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3dd039838ad349fd" /><Relationship Type="http://schemas.openxmlformats.org/officeDocument/2006/relationships/numbering" Target="/word/numbering.xml" Id="R5f03fa78f7c24dfc" /></Relationships>
</file>